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D044BD">
        <w:rPr>
          <w:sz w:val="28"/>
        </w:rPr>
        <w:t>52</w:t>
      </w:r>
      <w:r w:rsidR="002B0EDA">
        <w:rPr>
          <w:sz w:val="28"/>
        </w:rPr>
        <w:t>-</w:t>
      </w:r>
      <w:r>
        <w:rPr>
          <w:sz w:val="28"/>
        </w:rPr>
        <w:t>220</w:t>
      </w:r>
      <w:r w:rsidR="009E01E2">
        <w:rPr>
          <w:sz w:val="28"/>
        </w:rPr>
        <w:t>1</w:t>
      </w:r>
      <w:r>
        <w:rPr>
          <w:sz w:val="28"/>
        </w:rPr>
        <w:t>/202</w:t>
      </w:r>
      <w:r w:rsidR="00D044BD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C238B2" w:rsidR="00C238B2">
        <w:rPr>
          <w:sz w:val="28"/>
        </w:rPr>
        <w:t xml:space="preserve"> </w:t>
      </w:r>
      <w:r w:rsidR="002632A9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17 января 2025</w:t>
      </w:r>
      <w:r w:rsidR="008127AD">
        <w:rPr>
          <w:sz w:val="28"/>
        </w:rPr>
        <w:t xml:space="preserve"> года</w:t>
      </w:r>
      <w:r w:rsidR="008127AD">
        <w:rPr>
          <w:sz w:val="28"/>
        </w:rPr>
        <w:tab/>
        <w:t xml:space="preserve">                                                     </w:t>
      </w:r>
      <w:r w:rsidR="008127AD">
        <w:rPr>
          <w:sz w:val="28"/>
        </w:rPr>
        <w:t>г.Нягань</w:t>
      </w:r>
      <w:r w:rsidR="008127AD">
        <w:rPr>
          <w:sz w:val="28"/>
        </w:rPr>
        <w:t xml:space="preserve"> ХМАО-Югры</w:t>
      </w:r>
    </w:p>
    <w:p w:rsidR="00FB220F">
      <w:pPr>
        <w:rPr>
          <w:sz w:val="28"/>
        </w:rPr>
      </w:pPr>
    </w:p>
    <w:p w:rsidR="009E01E2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</w:t>
      </w:r>
      <w:r w:rsidR="00B7413A">
        <w:rPr>
          <w:sz w:val="28"/>
        </w:rPr>
        <w:t xml:space="preserve"> </w:t>
      </w:r>
    </w:p>
    <w:p w:rsidR="00936DC9">
      <w:pPr>
        <w:ind w:firstLine="72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участием лица, в отношении которого ведется производство по делу об административном правонарушении, </w:t>
      </w:r>
      <w:r w:rsidR="00D044BD">
        <w:rPr>
          <w:sz w:val="28"/>
        </w:rPr>
        <w:t>Калямова</w:t>
      </w:r>
      <w:r w:rsidR="00D044BD">
        <w:rPr>
          <w:sz w:val="28"/>
        </w:rPr>
        <w:t xml:space="preserve"> Д.И</w:t>
      </w:r>
      <w:r>
        <w:rPr>
          <w:sz w:val="28"/>
        </w:rPr>
        <w:t xml:space="preserve">.,  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044BD">
        <w:rPr>
          <w:sz w:val="28"/>
        </w:rPr>
        <w:t>Калямова</w:t>
      </w:r>
      <w:r w:rsidR="00D044BD">
        <w:rPr>
          <w:sz w:val="28"/>
        </w:rPr>
        <w:t xml:space="preserve"> Давида </w:t>
      </w:r>
      <w:r w:rsidR="00D044BD">
        <w:rPr>
          <w:sz w:val="28"/>
        </w:rPr>
        <w:t>Ильнаровича</w:t>
      </w:r>
      <w:r w:rsidR="00491A9B">
        <w:rPr>
          <w:sz w:val="28"/>
        </w:rPr>
        <w:t xml:space="preserve">, </w:t>
      </w:r>
      <w:r w:rsidR="002632A9">
        <w:rPr>
          <w:sz w:val="28"/>
        </w:rPr>
        <w:t>*</w:t>
      </w:r>
      <w:r w:rsidR="00491A9B">
        <w:rPr>
          <w:sz w:val="28"/>
        </w:rPr>
        <w:t xml:space="preserve"> года рождения, уроженца </w:t>
      </w:r>
      <w:r w:rsidR="002632A9">
        <w:rPr>
          <w:sz w:val="28"/>
        </w:rPr>
        <w:t>*</w:t>
      </w:r>
      <w:r w:rsidR="00491A9B">
        <w:rPr>
          <w:sz w:val="28"/>
        </w:rPr>
        <w:t xml:space="preserve">, гражданина Российской Федерации, паспорт </w:t>
      </w:r>
      <w:r w:rsidR="002632A9">
        <w:rPr>
          <w:sz w:val="28"/>
        </w:rPr>
        <w:t>*</w:t>
      </w:r>
      <w:r w:rsidR="00491A9B">
        <w:rPr>
          <w:sz w:val="28"/>
        </w:rPr>
        <w:t>,</w:t>
      </w:r>
      <w:r w:rsidR="003B0B51">
        <w:rPr>
          <w:sz w:val="28"/>
        </w:rPr>
        <w:t xml:space="preserve"> </w:t>
      </w:r>
      <w:r w:rsidR="002632A9">
        <w:rPr>
          <w:sz w:val="28"/>
        </w:rPr>
        <w:t>*</w:t>
      </w:r>
      <w:r w:rsidR="003B0B51">
        <w:rPr>
          <w:sz w:val="28"/>
        </w:rPr>
        <w:t>,</w:t>
      </w:r>
      <w:r w:rsidR="00491A9B">
        <w:rPr>
          <w:sz w:val="28"/>
        </w:rPr>
        <w:t xml:space="preserve"> зарегистрированного по адресу: </w:t>
      </w:r>
      <w:r w:rsidR="002632A9">
        <w:rPr>
          <w:sz w:val="28"/>
        </w:rPr>
        <w:t>*</w:t>
      </w:r>
      <w:r w:rsidR="00B7413A">
        <w:rPr>
          <w:sz w:val="28"/>
        </w:rPr>
        <w:t>,</w:t>
      </w:r>
      <w:r w:rsidR="0071397A">
        <w:rPr>
          <w:sz w:val="28"/>
        </w:rPr>
        <w:t xml:space="preserve"> проживающего по адресу: </w:t>
      </w:r>
      <w:r w:rsidR="002632A9">
        <w:rPr>
          <w:sz w:val="28"/>
        </w:rPr>
        <w:t>*</w:t>
      </w:r>
      <w:r w:rsidR="0071397A">
        <w:rPr>
          <w:sz w:val="28"/>
        </w:rPr>
        <w:t>,</w:t>
      </w:r>
      <w:r w:rsidR="00B7413A">
        <w:rPr>
          <w:sz w:val="28"/>
        </w:rPr>
        <w:t xml:space="preserve">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07 января 2025</w:t>
      </w:r>
      <w:r w:rsidR="008127AD">
        <w:rPr>
          <w:sz w:val="28"/>
        </w:rPr>
        <w:t xml:space="preserve"> года в </w:t>
      </w:r>
      <w:r w:rsidR="00505FC3">
        <w:rPr>
          <w:sz w:val="28"/>
        </w:rPr>
        <w:t>20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BD198D">
        <w:rPr>
          <w:sz w:val="28"/>
        </w:rPr>
        <w:t>ов</w:t>
      </w:r>
      <w:r w:rsidR="008127AD">
        <w:rPr>
          <w:sz w:val="28"/>
        </w:rPr>
        <w:t xml:space="preserve"> </w:t>
      </w:r>
      <w:r w:rsidR="00505FC3">
        <w:rPr>
          <w:sz w:val="28"/>
        </w:rPr>
        <w:t>37</w:t>
      </w:r>
      <w:r w:rsidR="00AC57F9">
        <w:rPr>
          <w:sz w:val="28"/>
        </w:rPr>
        <w:t xml:space="preserve"> 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C330DC">
        <w:rPr>
          <w:sz w:val="28"/>
        </w:rPr>
        <w:t xml:space="preserve">перекрестке </w:t>
      </w:r>
      <w:r w:rsidR="003B0B51">
        <w:rPr>
          <w:sz w:val="28"/>
        </w:rPr>
        <w:t xml:space="preserve">улицы </w:t>
      </w:r>
      <w:r w:rsidR="002632A9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Калямов</w:t>
      </w:r>
      <w:r>
        <w:rPr>
          <w:sz w:val="28"/>
        </w:rPr>
        <w:t xml:space="preserve"> Д.И</w:t>
      </w:r>
      <w:r w:rsidR="008127AD">
        <w:rPr>
          <w:sz w:val="28"/>
        </w:rPr>
        <w:t xml:space="preserve">., управляя транспортным средством </w:t>
      </w:r>
      <w:r w:rsidR="002632A9">
        <w:rPr>
          <w:sz w:val="28"/>
        </w:rPr>
        <w:t>*</w:t>
      </w:r>
      <w:r w:rsidR="00491A9B">
        <w:rPr>
          <w:sz w:val="28"/>
        </w:rPr>
        <w:t xml:space="preserve">, государственный регистрационный знак </w:t>
      </w:r>
      <w:r w:rsidR="002632A9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491A9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C430FB">
        <w:rPr>
          <w:sz w:val="28"/>
        </w:rPr>
        <w:t>а</w:t>
      </w:r>
      <w:r w:rsidR="008127AD">
        <w:rPr>
          <w:sz w:val="28"/>
        </w:rPr>
        <w:t xml:space="preserve"> на запрещающий </w:t>
      </w:r>
      <w:r w:rsidR="00491A9B">
        <w:rPr>
          <w:sz w:val="28"/>
        </w:rPr>
        <w:t>(</w:t>
      </w:r>
      <w:r w:rsidR="00757118">
        <w:rPr>
          <w:sz w:val="28"/>
        </w:rPr>
        <w:t>желтый</w:t>
      </w:r>
      <w:r w:rsidR="00491A9B">
        <w:rPr>
          <w:sz w:val="28"/>
        </w:rPr>
        <w:t xml:space="preserve">) </w:t>
      </w:r>
      <w:r w:rsidR="008127AD">
        <w:rPr>
          <w:sz w:val="28"/>
        </w:rPr>
        <w:t>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8C22D3">
        <w:rPr>
          <w:sz w:val="28"/>
        </w:rPr>
        <w:t xml:space="preserve"> </w:t>
      </w:r>
      <w:r w:rsidR="008127AD">
        <w:rPr>
          <w:sz w:val="28"/>
        </w:rPr>
        <w:t>Правил дорожного движения Российской Федерации</w:t>
      </w:r>
      <w:r w:rsidR="00505FC3">
        <w:rPr>
          <w:sz w:val="28"/>
        </w:rPr>
        <w:t xml:space="preserve">. Данное административное правонарушение совершено </w:t>
      </w:r>
      <w:r w:rsidRPr="00936DC9" w:rsidR="00505FC3">
        <w:rPr>
          <w:sz w:val="28"/>
        </w:rPr>
        <w:t>повторно</w:t>
      </w:r>
      <w:r w:rsidR="00936DC9">
        <w:rPr>
          <w:sz w:val="28"/>
        </w:rPr>
        <w:t xml:space="preserve"> в течение года</w:t>
      </w:r>
      <w:r w:rsidR="008127AD">
        <w:rPr>
          <w:sz w:val="28"/>
        </w:rPr>
        <w:t>.</w:t>
      </w:r>
    </w:p>
    <w:p w:rsidR="00936DC9" w:rsidRPr="00AA11BB" w:rsidP="00936DC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 xml:space="preserve">При рассмотрении дела об административном правонарушении </w:t>
      </w:r>
      <w:r w:rsidR="00D044BD">
        <w:rPr>
          <w:sz w:val="28"/>
        </w:rPr>
        <w:t>Калямов</w:t>
      </w:r>
      <w:r w:rsidR="00D044BD">
        <w:rPr>
          <w:sz w:val="28"/>
        </w:rPr>
        <w:t xml:space="preserve"> Д.И</w:t>
      </w:r>
      <w:r w:rsidR="00CB3E88">
        <w:rPr>
          <w:sz w:val="28"/>
        </w:rPr>
        <w:t>.</w:t>
      </w:r>
      <w:r>
        <w:rPr>
          <w:sz w:val="28"/>
        </w:rPr>
        <w:t xml:space="preserve"> с протоколом согласился</w:t>
      </w:r>
      <w:r w:rsidR="00987371">
        <w:rPr>
          <w:sz w:val="28"/>
        </w:rPr>
        <w:t xml:space="preserve"> частично</w:t>
      </w:r>
      <w:r>
        <w:rPr>
          <w:sz w:val="28"/>
        </w:rPr>
        <w:t xml:space="preserve">, вину признал </w:t>
      </w:r>
      <w:r w:rsidR="00987371">
        <w:rPr>
          <w:sz w:val="28"/>
        </w:rPr>
        <w:t>частично</w:t>
      </w:r>
      <w:r>
        <w:rPr>
          <w:sz w:val="28"/>
        </w:rPr>
        <w:t>, пояснил, что</w:t>
      </w:r>
      <w:r w:rsidR="00987371">
        <w:rPr>
          <w:sz w:val="28"/>
        </w:rPr>
        <w:t xml:space="preserve"> выехал на перекресток на мигающий зеленый свет светофора и не успел закончить маневр, так как светофор быстро переключился на желтый свет.</w:t>
      </w:r>
      <w:r w:rsidR="0071397A">
        <w:rPr>
          <w:sz w:val="28"/>
        </w:rPr>
        <w:t xml:space="preserve"> </w:t>
      </w: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 xml:space="preserve">Изучив материалы дела, </w:t>
      </w:r>
      <w:r w:rsidR="007E2B73">
        <w:rPr>
          <w:sz w:val="28"/>
        </w:rPr>
        <w:t xml:space="preserve">просмотрев видеозапись, </w:t>
      </w:r>
      <w:r w:rsidR="00936DC9">
        <w:rPr>
          <w:sz w:val="28"/>
        </w:rPr>
        <w:t xml:space="preserve">заслушав </w:t>
      </w:r>
      <w:r w:rsidR="00D044BD">
        <w:rPr>
          <w:sz w:val="28"/>
        </w:rPr>
        <w:t>Калямова</w:t>
      </w:r>
      <w:r w:rsidR="00D044BD">
        <w:rPr>
          <w:sz w:val="28"/>
        </w:rPr>
        <w:t xml:space="preserve"> Д.И</w:t>
      </w:r>
      <w:r w:rsidR="00936DC9">
        <w:rPr>
          <w:sz w:val="28"/>
        </w:rPr>
        <w:t xml:space="preserve">., </w:t>
      </w:r>
      <w:r>
        <w:rPr>
          <w:sz w:val="28"/>
        </w:rPr>
        <w:t xml:space="preserve">мировой судья находит </w:t>
      </w:r>
      <w:r w:rsidR="00936DC9">
        <w:rPr>
          <w:sz w:val="28"/>
        </w:rPr>
        <w:t xml:space="preserve">его </w:t>
      </w:r>
      <w:r>
        <w:rPr>
          <w:sz w:val="28"/>
        </w:rPr>
        <w:t>вину</w:t>
      </w:r>
      <w:r w:rsidRPr="00CB3E88" w:rsidR="00CB3E88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</w:t>
      </w:r>
      <w:r>
        <w:rPr>
          <w:sz w:val="28"/>
        </w:rPr>
        <w:t xml:space="preserve">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N 120-статье   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D044BD">
        <w:rPr>
          <w:sz w:val="28"/>
        </w:rPr>
        <w:t>Калямовым</w:t>
      </w:r>
      <w:r w:rsidR="00D044BD">
        <w:rPr>
          <w:sz w:val="28"/>
        </w:rPr>
        <w:t xml:space="preserve"> Д.И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D044BD">
        <w:rPr>
          <w:sz w:val="28"/>
        </w:rPr>
        <w:t>Калямова</w:t>
      </w:r>
      <w:r w:rsidR="00D044BD">
        <w:rPr>
          <w:sz w:val="28"/>
        </w:rPr>
        <w:t xml:space="preserve"> Д.И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2632A9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D044BD">
        <w:rPr>
          <w:sz w:val="28"/>
        </w:rPr>
        <w:t>07 января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D044BD">
        <w:rPr>
          <w:sz w:val="28"/>
        </w:rPr>
        <w:t>Калямовым</w:t>
      </w:r>
      <w:r w:rsidR="00D044BD">
        <w:rPr>
          <w:sz w:val="28"/>
        </w:rPr>
        <w:t xml:space="preserve"> Д.И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D044BD">
        <w:rPr>
          <w:spacing w:val="-1"/>
          <w:sz w:val="28"/>
        </w:rPr>
        <w:t>Калямову</w:t>
      </w:r>
      <w:r w:rsidR="00D044BD">
        <w:rPr>
          <w:spacing w:val="-1"/>
          <w:sz w:val="28"/>
        </w:rPr>
        <w:t xml:space="preserve"> Д.И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505FC3">
        <w:rPr>
          <w:sz w:val="28"/>
        </w:rPr>
        <w:t>ЦАФАП Госавтоинспекции УМВД России по Омской области</w:t>
      </w:r>
      <w:r w:rsidR="00A33B17">
        <w:rPr>
          <w:sz w:val="28"/>
        </w:rPr>
        <w:t xml:space="preserve"> </w:t>
      </w:r>
      <w:r w:rsidR="002632A9">
        <w:rPr>
          <w:sz w:val="28"/>
        </w:rPr>
        <w:t>*</w:t>
      </w:r>
      <w:r w:rsidR="00A33B17">
        <w:rPr>
          <w:sz w:val="28"/>
        </w:rPr>
        <w:t xml:space="preserve"> от </w:t>
      </w:r>
      <w:r w:rsidR="00505FC3">
        <w:rPr>
          <w:sz w:val="28"/>
        </w:rPr>
        <w:t>17 сентября</w:t>
      </w:r>
      <w:r w:rsidR="00784485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D044BD">
        <w:rPr>
          <w:sz w:val="28"/>
        </w:rPr>
        <w:t>Калямов</w:t>
      </w:r>
      <w:r w:rsidR="00D044BD">
        <w:rPr>
          <w:sz w:val="28"/>
        </w:rPr>
        <w:t xml:space="preserve"> Д.И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505FC3">
        <w:rPr>
          <w:sz w:val="28"/>
        </w:rPr>
        <w:t>05 октября</w:t>
      </w:r>
      <w:r w:rsidR="00784485">
        <w:rPr>
          <w:sz w:val="28"/>
        </w:rPr>
        <w:t xml:space="preserve"> 2024</w:t>
      </w:r>
      <w:r w:rsidR="002136A6">
        <w:rPr>
          <w:sz w:val="28"/>
        </w:rPr>
        <w:t xml:space="preserve"> года;</w:t>
      </w:r>
    </w:p>
    <w:p w:rsidR="00505FC3" w:rsidP="00505FC3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ЦАФАП Госавтоинспекции УМВД России по Омской области 18810555241226000648 от 26 декабря 2024 года, согласно которого </w:t>
      </w:r>
      <w:r>
        <w:rPr>
          <w:sz w:val="28"/>
        </w:rPr>
        <w:t>Калямов</w:t>
      </w:r>
      <w:r>
        <w:rPr>
          <w:sz w:val="28"/>
        </w:rPr>
        <w:t xml:space="preserve"> Д.И. был привлечен к административной ответственности за совершение административного правонарушения, предусмотренного частью </w:t>
      </w:r>
      <w:r w:rsidR="00987371">
        <w:rPr>
          <w:sz w:val="28"/>
        </w:rPr>
        <w:t>3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06 января 2025 года;</w:t>
      </w:r>
    </w:p>
    <w:p w:rsidR="00505FC3">
      <w:pPr>
        <w:pStyle w:val="BodyText"/>
        <w:ind w:firstLine="708"/>
        <w:rPr>
          <w:sz w:val="28"/>
        </w:rPr>
      </w:pPr>
      <w:r>
        <w:rPr>
          <w:sz w:val="28"/>
        </w:rPr>
        <w:t>- рапортом инспектора Ч</w:t>
      </w:r>
      <w:r w:rsidR="002632A9">
        <w:rPr>
          <w:sz w:val="28"/>
        </w:rPr>
        <w:t>*</w:t>
      </w:r>
      <w:r>
        <w:rPr>
          <w:sz w:val="28"/>
        </w:rPr>
        <w:t xml:space="preserve"> А.С. от 07 января 2025 года, согласно которого 07 января 2025 года в 20 час. 37 мин. по адресу</w:t>
      </w:r>
      <w:r w:rsidR="00987371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г.Нягань</w:t>
      </w:r>
      <w:r>
        <w:rPr>
          <w:sz w:val="28"/>
        </w:rPr>
        <w:t xml:space="preserve">, </w:t>
      </w:r>
      <w:r w:rsidR="002632A9">
        <w:rPr>
          <w:sz w:val="28"/>
        </w:rPr>
        <w:t>*</w:t>
      </w:r>
      <w:r>
        <w:rPr>
          <w:sz w:val="28"/>
        </w:rPr>
        <w:t xml:space="preserve">, транспортное средство </w:t>
      </w:r>
      <w:r w:rsidR="002632A9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2632A9">
        <w:rPr>
          <w:sz w:val="28"/>
        </w:rPr>
        <w:t>*</w:t>
      </w:r>
      <w:r>
        <w:rPr>
          <w:sz w:val="28"/>
        </w:rPr>
        <w:t>, осуществил прое</w:t>
      </w:r>
      <w:r w:rsidR="00987371">
        <w:rPr>
          <w:sz w:val="28"/>
        </w:rPr>
        <w:t>зд</w:t>
      </w:r>
      <w:r>
        <w:rPr>
          <w:sz w:val="28"/>
        </w:rPr>
        <w:t xml:space="preserve"> на запрещающий сигнал светофора. Данное транспортное средство </w:t>
      </w:r>
      <w:r w:rsidR="00987371">
        <w:rPr>
          <w:sz w:val="28"/>
        </w:rPr>
        <w:t xml:space="preserve">под управлением </w:t>
      </w:r>
      <w:r w:rsidR="00987371">
        <w:rPr>
          <w:sz w:val="28"/>
        </w:rPr>
        <w:t>Калямова</w:t>
      </w:r>
      <w:r w:rsidR="00987371">
        <w:rPr>
          <w:sz w:val="28"/>
        </w:rPr>
        <w:t xml:space="preserve"> Д.И. </w:t>
      </w:r>
      <w:r>
        <w:rPr>
          <w:sz w:val="28"/>
        </w:rPr>
        <w:t>было остановлено, при проверки по базе выяснилось, что данный гражданин неоднократно за год совершает административное правонарушени</w:t>
      </w:r>
      <w:r w:rsidR="00987371">
        <w:rPr>
          <w:sz w:val="28"/>
        </w:rPr>
        <w:t>е</w:t>
      </w:r>
      <w:r>
        <w:rPr>
          <w:sz w:val="28"/>
        </w:rPr>
        <w:t>;</w:t>
      </w:r>
    </w:p>
    <w:p w:rsidR="004679B1">
      <w:pPr>
        <w:pStyle w:val="BodyText"/>
        <w:ind w:firstLine="708"/>
        <w:rPr>
          <w:sz w:val="28"/>
        </w:rPr>
      </w:pPr>
      <w:r>
        <w:rPr>
          <w:sz w:val="28"/>
        </w:rPr>
        <w:t xml:space="preserve">- диском с видеозаписью момента совершения </w:t>
      </w:r>
      <w:r w:rsidR="00D044BD">
        <w:rPr>
          <w:sz w:val="28"/>
        </w:rPr>
        <w:t>Калямовым</w:t>
      </w:r>
      <w:r w:rsidR="00D044BD">
        <w:rPr>
          <w:sz w:val="28"/>
        </w:rPr>
        <w:t xml:space="preserve"> Д.И</w:t>
      </w:r>
      <w:r>
        <w:rPr>
          <w:sz w:val="28"/>
        </w:rPr>
        <w:t xml:space="preserve">. административного правонарушения. 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936DC9">
      <w:pPr>
        <w:pStyle w:val="BodyText"/>
        <w:ind w:firstLine="708"/>
        <w:rPr>
          <w:sz w:val="28"/>
        </w:rPr>
      </w:pPr>
      <w:r>
        <w:rPr>
          <w:sz w:val="28"/>
        </w:rPr>
        <w:t>Обстоятельств, смягчающи</w:t>
      </w:r>
      <w:r w:rsidR="00987371">
        <w:rPr>
          <w:sz w:val="28"/>
        </w:rPr>
        <w:t>х</w:t>
      </w:r>
      <w:r>
        <w:rPr>
          <w:sz w:val="28"/>
        </w:rPr>
        <w:t xml:space="preserve"> административную ответственность, </w:t>
      </w:r>
      <w:r w:rsidR="00987371">
        <w:rPr>
          <w:sz w:val="28"/>
        </w:rPr>
        <w:t>по делу не установлено</w:t>
      </w:r>
      <w:r>
        <w:rPr>
          <w:sz w:val="28"/>
        </w:rPr>
        <w:t xml:space="preserve">. 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DE14F3">
        <w:rPr>
          <w:color w:val="auto"/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12 Кодекса Российской Федерации об административных правонарушениях</w:t>
      </w:r>
      <w:r w:rsidR="002762D5"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E164AC" w:rsidR="00E164AC">
        <w:rPr>
          <w:sz w:val="28"/>
        </w:rPr>
        <w:t xml:space="preserve">влечет наложение административного штрафа в размере семи тысяч </w:t>
      </w:r>
      <w:r w:rsidRPr="00E164AC" w:rsidR="00E164AC">
        <w:rPr>
          <w:sz w:val="28"/>
        </w:rPr>
        <w:t>пятисот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987371">
      <w:pPr>
        <w:jc w:val="center"/>
        <w:rPr>
          <w:sz w:val="28"/>
        </w:rPr>
      </w:pPr>
    </w:p>
    <w:p w:rsidR="0071322E" w:rsidP="0071322E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Калямова</w:t>
      </w:r>
      <w:r>
        <w:rPr>
          <w:sz w:val="28"/>
        </w:rPr>
        <w:t xml:space="preserve"> Давида </w:t>
      </w:r>
      <w:r>
        <w:rPr>
          <w:sz w:val="28"/>
        </w:rPr>
        <w:t>Ильнаровича</w:t>
      </w:r>
      <w:r w:rsidR="00491A9B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</w:t>
      </w:r>
      <w:r>
        <w:rPr>
          <w:sz w:val="28"/>
        </w:rPr>
        <w:t xml:space="preserve">и назначить ему административное наказание в виде административного штрафа в размере </w:t>
      </w:r>
      <w:r w:rsidR="00E164AC">
        <w:rPr>
          <w:sz w:val="28"/>
        </w:rPr>
        <w:t>7 5</w:t>
      </w:r>
      <w:r>
        <w:rPr>
          <w:sz w:val="28"/>
        </w:rPr>
        <w:t>00 (</w:t>
      </w:r>
      <w:r w:rsidR="00E164AC">
        <w:rPr>
          <w:sz w:val="28"/>
        </w:rPr>
        <w:t>семь</w:t>
      </w:r>
      <w:r>
        <w:rPr>
          <w:sz w:val="28"/>
        </w:rPr>
        <w:t xml:space="preserve"> тысяч</w:t>
      </w:r>
      <w:r w:rsidR="00E164AC">
        <w:rPr>
          <w:sz w:val="28"/>
        </w:rPr>
        <w:t xml:space="preserve"> пятьсот</w:t>
      </w:r>
      <w:r>
        <w:rPr>
          <w:sz w:val="28"/>
        </w:rPr>
        <w:t>) рублей.</w:t>
      </w:r>
    </w:p>
    <w:p w:rsidR="0071322E" w:rsidP="0071322E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</w:t>
      </w:r>
      <w:r w:rsidRPr="0071322E">
        <w:rPr>
          <w:color w:val="FF0000"/>
          <w:sz w:val="28"/>
        </w:rPr>
        <w:t>188104862</w:t>
      </w:r>
      <w:r w:rsidR="00E164AC">
        <w:rPr>
          <w:color w:val="FF0000"/>
          <w:sz w:val="28"/>
        </w:rPr>
        <w:t>5</w:t>
      </w:r>
      <w:r w:rsidRPr="0071322E">
        <w:rPr>
          <w:color w:val="FF0000"/>
          <w:sz w:val="28"/>
        </w:rPr>
        <w:t>055000</w:t>
      </w:r>
      <w:r w:rsidR="00E164AC">
        <w:rPr>
          <w:color w:val="FF0000"/>
          <w:sz w:val="28"/>
        </w:rPr>
        <w:t>0053</w:t>
      </w:r>
      <w:r>
        <w:rPr>
          <w:sz w:val="28"/>
        </w:rPr>
        <w:t>.</w:t>
      </w:r>
    </w:p>
    <w:p w:rsidR="0071322E" w:rsidP="0071322E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71322E" w:rsidP="0071322E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D198D" w:rsidP="0071322E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</w:t>
      </w:r>
      <w:r>
        <w:rPr>
          <w:sz w:val="28"/>
        </w:rPr>
        <w:t>округа-Югры либо непосредственно в суд, уполномоченный её рассматривать, в течение 10 дней с момента вручения или получении копии постановления.</w:t>
      </w:r>
    </w:p>
    <w:p w:rsidR="00BD198D" w:rsidP="00BD198D">
      <w:pPr>
        <w:ind w:firstLine="708"/>
        <w:jc w:val="both"/>
        <w:rPr>
          <w:sz w:val="28"/>
        </w:rPr>
      </w:pPr>
    </w:p>
    <w:p w:rsidR="00987371" w:rsidP="00BD198D">
      <w:pPr>
        <w:ind w:firstLine="708"/>
        <w:jc w:val="both"/>
        <w:rPr>
          <w:sz w:val="28"/>
        </w:rPr>
      </w:pPr>
    </w:p>
    <w:p w:rsidR="00987371" w:rsidP="00BD198D">
      <w:pPr>
        <w:ind w:firstLine="708"/>
        <w:jc w:val="both"/>
        <w:rPr>
          <w:sz w:val="28"/>
        </w:rPr>
      </w:pPr>
    </w:p>
    <w:p w:rsidR="00987371" w:rsidP="00BD198D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987371">
      <w:footerReference w:type="default" r:id="rId12"/>
      <w:pgSz w:w="11906" w:h="16838"/>
      <w:pgMar w:top="851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FC3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632A9">
      <w:rPr>
        <w:rStyle w:val="PageNumber"/>
        <w:noProof/>
      </w:rPr>
      <w:t>4</w:t>
    </w:r>
    <w:r>
      <w:rPr>
        <w:rStyle w:val="PageNumber"/>
      </w:rPr>
      <w:fldChar w:fldCharType="end"/>
    </w:r>
  </w:p>
  <w:p w:rsidR="00505FC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114F51"/>
    <w:rsid w:val="00150BC6"/>
    <w:rsid w:val="00202E75"/>
    <w:rsid w:val="002136A6"/>
    <w:rsid w:val="002433F0"/>
    <w:rsid w:val="002632A9"/>
    <w:rsid w:val="002762D5"/>
    <w:rsid w:val="002B0EDA"/>
    <w:rsid w:val="0031229D"/>
    <w:rsid w:val="0033335A"/>
    <w:rsid w:val="003B0B51"/>
    <w:rsid w:val="0044679E"/>
    <w:rsid w:val="004679B1"/>
    <w:rsid w:val="00491A9B"/>
    <w:rsid w:val="00505FC3"/>
    <w:rsid w:val="00560BA3"/>
    <w:rsid w:val="00631611"/>
    <w:rsid w:val="00646237"/>
    <w:rsid w:val="006A06FD"/>
    <w:rsid w:val="006F55F4"/>
    <w:rsid w:val="0071322E"/>
    <w:rsid w:val="0071397A"/>
    <w:rsid w:val="00757118"/>
    <w:rsid w:val="00784485"/>
    <w:rsid w:val="007C7B4D"/>
    <w:rsid w:val="007E2B73"/>
    <w:rsid w:val="008127AD"/>
    <w:rsid w:val="00815F4B"/>
    <w:rsid w:val="008858D9"/>
    <w:rsid w:val="008C22D3"/>
    <w:rsid w:val="00936DC9"/>
    <w:rsid w:val="00951BA7"/>
    <w:rsid w:val="00987371"/>
    <w:rsid w:val="009955EB"/>
    <w:rsid w:val="009B5912"/>
    <w:rsid w:val="009E01E2"/>
    <w:rsid w:val="00A250DB"/>
    <w:rsid w:val="00A33B17"/>
    <w:rsid w:val="00AA11BB"/>
    <w:rsid w:val="00AA157C"/>
    <w:rsid w:val="00AC0FB0"/>
    <w:rsid w:val="00AC57F9"/>
    <w:rsid w:val="00B06601"/>
    <w:rsid w:val="00B55D39"/>
    <w:rsid w:val="00B7413A"/>
    <w:rsid w:val="00BD198D"/>
    <w:rsid w:val="00C238B2"/>
    <w:rsid w:val="00C320B0"/>
    <w:rsid w:val="00C330DC"/>
    <w:rsid w:val="00C430FB"/>
    <w:rsid w:val="00CB3E88"/>
    <w:rsid w:val="00CD5D37"/>
    <w:rsid w:val="00D044BD"/>
    <w:rsid w:val="00D211B3"/>
    <w:rsid w:val="00D85AE1"/>
    <w:rsid w:val="00DA2449"/>
    <w:rsid w:val="00DE14F3"/>
    <w:rsid w:val="00DE2047"/>
    <w:rsid w:val="00E12ADD"/>
    <w:rsid w:val="00E164AC"/>
    <w:rsid w:val="00ED3D35"/>
    <w:rsid w:val="00FB22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B8734E-8B99-493F-8884-27583C8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6284-15DA-4551-833E-2230913A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